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influencia de la percepción del amor romántico en la violencia simbólica en las adolescentes de la ciudad de Tunja </w: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3">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Stephany Pérez Pérez</w:t>
      </w:r>
    </w:p>
    <w:p w:rsidR="00000000" w:rsidDel="00000000" w:rsidP="00000000" w:rsidRDefault="00000000" w:rsidRPr="00000000" w14:paraId="00000004">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 Estefanía Preciado Avella</w:t>
      </w:r>
    </w:p>
    <w:p w:rsidR="00000000" w:rsidDel="00000000" w:rsidP="00000000" w:rsidRDefault="00000000" w:rsidRPr="00000000" w14:paraId="00000005">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7">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w:t>
      </w:r>
    </w:p>
    <w:p w:rsidR="00000000" w:rsidDel="00000000" w:rsidP="00000000" w:rsidRDefault="00000000" w:rsidRPr="00000000" w14:paraId="00000008">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Cristina Corrales</w:t>
        <w:br w:type="textWrapping"/>
        <w:br w:type="textWrapping"/>
      </w:r>
    </w:p>
    <w:p w:rsidR="00000000" w:rsidDel="00000000" w:rsidP="00000000" w:rsidRDefault="00000000" w:rsidRPr="00000000" w14:paraId="0000000A">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Pedagógica y Tecnológica de Colombia</w:t>
      </w:r>
    </w:p>
    <w:p w:rsidR="00000000" w:rsidDel="00000000" w:rsidP="00000000" w:rsidRDefault="00000000" w:rsidRPr="00000000" w14:paraId="0000000C">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Tunja</w:t>
      </w:r>
    </w:p>
    <w:p w:rsidR="00000000" w:rsidDel="00000000" w:rsidP="00000000" w:rsidRDefault="00000000" w:rsidRPr="00000000" w14:paraId="0000000E">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27 de mayo de 2025</w:t>
      </w:r>
      <w:r w:rsidDel="00000000" w:rsidR="00000000" w:rsidRPr="00000000">
        <w:rPr>
          <w:rtl w:val="0"/>
        </w:rPr>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Planteamiento del problema</w:t>
      </w:r>
    </w:p>
    <w:p w:rsidR="00000000" w:rsidDel="00000000" w:rsidP="00000000" w:rsidRDefault="00000000" w:rsidRPr="00000000" w14:paraId="00000013">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En la actualidad, la concepción del amor romántico en la adolescencia representa un fenómeno sociocultural profundamente arraigado, que puede influir de forma significativa en la forma como los jóvenes se relacionan afectivamente. En este contexto, se observa que muchas adolescentes tienden a justificar conductas de control, celos o posesividad como expresiones de afecto, lo que puede enmascarar prácticas de poder y control que se vinculan directamente con formas de violencia simbólica, la cual suele ser ejercida de forma silenciosa, cotidiana y difícil de identificar (Bourdieu, 2012).</w:t>
      </w:r>
    </w:p>
    <w:p w:rsidR="00000000" w:rsidDel="00000000" w:rsidP="00000000" w:rsidRDefault="00000000" w:rsidRPr="00000000" w14:paraId="00000014">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Los síntomas más visibles de esta problemática son: la naturalización del control en la pareja, la justificación del sufrimiento por amor, y la resistencia al cuestionamiento de las relaciones afectivas disfuncionales. Entre las posibles causas se encuentran los mitos del amor romántico perpetuados por los medios de comunicación, redes sociales, canciones, telenovelas, contextos familiares y culturales, mitos que fomentan ideas como la necesidad del sacrificio, la media naranja o el amor eterno, que pueden generar dependencia emocional (Flores, 2019; Ariza et al., 2022). Además, estudios han mostrado que estos mitos tienden a consolidarse en la adolescencia, una etapa caracterizada por la formación de la identidad y la búsqueda de pertenencia afectiva, lo que aumenta la vulnerabilidad frente a relaciones asimétricas (Rodríguez-de Arriba et al., 2021).</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Entre las consecuencias de permitir o ignorar los casos y situaciones de violencia simbólica por las percepciones de lo que sería el amor romántico se destaca el riesgo de establecer relaciones afectivas desiguales, con impactos negativos en la autoestima, el desarrollo emocional y la toma de decisiones por parte de las adolescentes. En este sentido, investigaciones han evidenciado que la normalización de los celos, la posesividad y el control como demostraciones de amor en el contexto del noviazgo adolescente se relaciona directamente con la presencia de conductas abusivas y con la dificultad para reconocerlas como formas de violencia (Muñoz-Rivas et al., 2007). A nivel colectivo, estas creencias contribuyen a la reproducción de relaciones de poder marcadas por la desigualdad de género.</w:t>
        <w:br w:type="textWrapping"/>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Por lo anterior la pregunta de investigación a abordar será: ¿Cómo influye la percepción sobre el amor romántico que tienen un grupo de adolescentes entre 13 y 17 años, de la Escuela Normal Superior Santiago de Tunja, en la aceptación o invisibilización de prácticas de control y poder en sus relaciones afectivas?</w:t>
      </w:r>
    </w:p>
    <w:p w:rsidR="00000000" w:rsidDel="00000000" w:rsidP="00000000" w:rsidRDefault="00000000" w:rsidRPr="00000000" w14:paraId="00000017">
      <w:pPr>
        <w:spacing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sz w:val="24"/>
          <w:szCs w:val="24"/>
          <w:rtl w:val="0"/>
        </w:rPr>
        <w:t xml:space="preserve">Contextualización:</w:t>
      </w:r>
      <w:r w:rsidDel="00000000" w:rsidR="00000000" w:rsidRPr="00000000">
        <w:rPr>
          <w:rtl w:val="0"/>
        </w:rPr>
      </w:r>
    </w:p>
    <w:p w:rsidR="00000000" w:rsidDel="00000000" w:rsidP="00000000" w:rsidRDefault="00000000" w:rsidRPr="00000000" w14:paraId="00000018">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 percepción del amor romántico como el conjunto de creencias, expectativas y normas culturales que idealizan el amor como sacrificio, fusión emocional y dependencia, sustentadas en mitos históricos o literarios (Esteban &amp; Távora, 2008), y su relación con la violencia simbólica, entendida como formas de dominación invisibilizadas que perpetúan la desigualdad de género a través de la internalización de roles tradicionales(Bourdieu, 2012) constituye una problemática compleja que afecta de manera significativa a la mayoría de las personas, especialmente a las adolescentes alrededor del mundo.</w:t>
      </w:r>
    </w:p>
    <w:p w:rsidR="00000000" w:rsidDel="00000000" w:rsidP="00000000" w:rsidRDefault="00000000" w:rsidRPr="00000000" w14:paraId="00000019">
      <w:pPr>
        <w:spacing w:after="240" w:before="240" w:line="360" w:lineRule="auto"/>
        <w:ind w:firstLine="720"/>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 violencia simbólica en el noviazgo adolescente es frecuente pero suele invisibilizarse porque muchos adolescentes la perciben como "normal" dentro de las relaciones afectivas (</w:t>
      </w:r>
      <w:r w:rsidDel="00000000" w:rsidR="00000000" w:rsidRPr="00000000">
        <w:rPr>
          <w:rFonts w:ascii="Times New Roman" w:cs="Times New Roman" w:eastAsia="Times New Roman" w:hAnsi="Times New Roman"/>
          <w:color w:val="222222"/>
          <w:sz w:val="24"/>
          <w:szCs w:val="24"/>
          <w:highlight w:val="white"/>
          <w:rtl w:val="0"/>
        </w:rPr>
        <w:t xml:space="preserve">Bittar &amp; Nakano, 2018</w:t>
      </w:r>
      <w:r w:rsidDel="00000000" w:rsidR="00000000" w:rsidRPr="00000000">
        <w:rPr>
          <w:rFonts w:ascii="Times New Roman" w:cs="Times New Roman" w:eastAsia="Times New Roman" w:hAnsi="Times New Roman"/>
          <w:color w:val="1d2125"/>
          <w:sz w:val="24"/>
          <w:szCs w:val="24"/>
          <w:highlight w:val="white"/>
          <w:rtl w:val="0"/>
        </w:rPr>
        <w:t xml:space="preserve">). A través de los discursos culturales, los modelos de pareja aprendidos en la familia, la socialización machista que perpetúa roles de género tradicionales, la falta de información y naturalización de prácticas controladoras, los jóvenes interiorizan mitos y creencias que exaltan un ideal de amor basado en la entrega incondicional, el sacrificio, la sumisión y el sufrimiento (Caro &amp; Monreal, 2017;  Ariza Ruiz et al., 2022;). Esta percepción distorsionada puede derivar en la aceptación o invisibilización de prácticas de control y poder dentro de las relaciones afectivas.</w:t>
      </w:r>
      <w:r w:rsidDel="00000000" w:rsidR="00000000" w:rsidRPr="00000000">
        <w:rPr>
          <w:rtl w:val="0"/>
        </w:rPr>
      </w:r>
    </w:p>
    <w:p w:rsidR="00000000" w:rsidDel="00000000" w:rsidP="00000000" w:rsidRDefault="00000000" w:rsidRPr="00000000" w14:paraId="0000001A">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Entre los principales síntomas se encuentran la normalización de conductas controladoras y abusivas, la justificación de los celos como expresión de amor verdadero, el control como una forma de cuidado y la tolerancia hacia dinámicas de dependencia emocional (Flores, 2019). Estas prácticas, aunque se efectúen de manera sutil, forman parte de lo que Bourdieu (2012) denomina violencia simbólica. </w:t>
      </w:r>
    </w:p>
    <w:p w:rsidR="00000000" w:rsidDel="00000000" w:rsidP="00000000" w:rsidRDefault="00000000" w:rsidRPr="00000000" w14:paraId="0000001B">
      <w:pPr>
        <w:spacing w:after="240" w:before="240" w:line="360" w:lineRule="auto"/>
        <w:ind w:firstLine="720"/>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Las principales causas de este fenómeno se encuentran ligadas a la influencia de los mitos del amor romántico y a la persistencia de estructuras patriarcales que promueven relaciones desiguales (Esteban &amp; Távora, 2008), lo anterior, se da en pos de la dominación masculina que se ejercita como forma de violencia materializada en las peleas y simbolizada en la culpabilización de la mujer, quien de esta manera, se encuentra en una sociedad históricamente marcada por el sesgo androcéntrico y es la principal víctima de la violencia simbólica. (</w:t>
      </w:r>
      <w:r w:rsidDel="00000000" w:rsidR="00000000" w:rsidRPr="00000000">
        <w:rPr>
          <w:rFonts w:ascii="Times New Roman" w:cs="Times New Roman" w:eastAsia="Times New Roman" w:hAnsi="Times New Roman"/>
          <w:color w:val="222222"/>
          <w:sz w:val="24"/>
          <w:szCs w:val="24"/>
          <w:highlight w:val="white"/>
          <w:rtl w:val="0"/>
        </w:rPr>
        <w:t xml:space="preserve">Bittar &amp; Nakano, 2018</w:t>
      </w:r>
      <w:r w:rsidDel="00000000" w:rsidR="00000000" w:rsidRPr="00000000">
        <w:rPr>
          <w:rFonts w:ascii="Times New Roman" w:cs="Times New Roman" w:eastAsia="Times New Roman" w:hAnsi="Times New Roman"/>
          <w:color w:val="1d2125"/>
          <w:sz w:val="24"/>
          <w:szCs w:val="24"/>
          <w:highlight w:val="white"/>
          <w:rtl w:val="0"/>
        </w:rPr>
        <w:t xml:space="preserve">). Los medios de comunicación, la familia y las redes sociales refuerzan constantemente estos modelos de relación, dificultando la construcción de vínculos afectivos basados en el respeto y la igualdad (Benalcázar-Luna &amp; Venegas, 2015).</w:t>
      </w:r>
      <w:r w:rsidDel="00000000" w:rsidR="00000000" w:rsidRPr="00000000">
        <w:rPr>
          <w:rtl w:val="0"/>
        </w:rPr>
      </w:r>
    </w:p>
    <w:p w:rsidR="00000000" w:rsidDel="00000000" w:rsidP="00000000" w:rsidRDefault="00000000" w:rsidRPr="00000000" w14:paraId="0000001C">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 interiorización de estas concepciones puede tener consecuencias significativas en las jóvenes, como pueden ser; el aumento de la violencia en el noviazgo, la normalización del control emocional y la limitación del desarrollo de la autonomía personal (Ariza Ruiz et al., 2022). Además, puede perpetuar ciclos de violencia a lo largo de la vida adulta, afectando la autoestima, la independencia y el crecimiento personal, viéndose a su vez vinculado con problemas de salud mental y emocional tales como; estrés, ansiedad, depresión, etc. (Flores, 2019).</w:t>
      </w:r>
    </w:p>
    <w:p w:rsidR="00000000" w:rsidDel="00000000" w:rsidP="00000000" w:rsidRDefault="00000000" w:rsidRPr="00000000" w14:paraId="0000001D">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Fenómenos como la violencia simbólica suelen cronificarse con el tiempo, de ahí, la necesidad de intervenir desde las primeras relaciones afectivas, para evitar que  esta problemática se mantenga e incluso se intensifique, reproduciendo patrones de violencia simbólica en futuras generaciones. Estrategias basadas en la educación afectivo-sexual con perspectiva de género, la promoción de la salud mental, talleres de identificación de violencia simbólica y reflexión sobre el amor romántico  pueden disminuir la aceptación de prácticas comunes de la violencia simbólica, presentes en las relaciones afectivas de las adolescentes (Caro &amp; Monreal, 2017).</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Objetivo general:</w:t>
      </w:r>
    </w:p>
    <w:p w:rsidR="00000000" w:rsidDel="00000000" w:rsidP="00000000" w:rsidRDefault="00000000" w:rsidRPr="00000000" w14:paraId="0000001F">
      <w:pPr>
        <w:numPr>
          <w:ilvl w:val="0"/>
          <w:numId w:val="3"/>
        </w:numPr>
        <w:spacing w:after="240" w:before="240" w:line="360" w:lineRule="auto"/>
        <w:ind w:left="720" w:hanging="36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Analizar la manera en que</w:t>
      </w:r>
      <w:r w:rsidDel="00000000" w:rsidR="00000000" w:rsidRPr="00000000">
        <w:rPr>
          <w:rFonts w:ascii="Times New Roman" w:cs="Times New Roman" w:eastAsia="Times New Roman" w:hAnsi="Times New Roman"/>
          <w:b w:val="1"/>
          <w:color w:val="1d2125"/>
          <w:sz w:val="24"/>
          <w:szCs w:val="24"/>
          <w:highlight w:val="white"/>
          <w:rtl w:val="0"/>
        </w:rPr>
        <w:t xml:space="preserve"> </w:t>
      </w:r>
      <w:r w:rsidDel="00000000" w:rsidR="00000000" w:rsidRPr="00000000">
        <w:rPr>
          <w:rFonts w:ascii="Times New Roman" w:cs="Times New Roman" w:eastAsia="Times New Roman" w:hAnsi="Times New Roman"/>
          <w:color w:val="1d2125"/>
          <w:sz w:val="24"/>
          <w:szCs w:val="24"/>
          <w:highlight w:val="white"/>
          <w:rtl w:val="0"/>
        </w:rPr>
        <w:t xml:space="preserve">las percepciones sobre el amor romántico en un grupo de adolescentes entre 13 y 17 años influyen en la aceptación o invisibilización de prácticas de control y poder en sus relaciones afectivas.</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Objetivos Específicos:</w:t>
      </w:r>
    </w:p>
    <w:p w:rsidR="00000000" w:rsidDel="00000000" w:rsidP="00000000" w:rsidRDefault="00000000" w:rsidRPr="00000000" w14:paraId="00000021">
      <w:pPr>
        <w:numPr>
          <w:ilvl w:val="0"/>
          <w:numId w:val="1"/>
        </w:numPr>
        <w:spacing w:before="240" w:line="360" w:lineRule="auto"/>
        <w:ind w:left="720" w:hanging="36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Explorar las creencias, valores y significados que el grupo de adolescentes atribuyen al amor romántico en su contexto social y cultural.</w:t>
      </w:r>
    </w:p>
    <w:p w:rsidR="00000000" w:rsidDel="00000000" w:rsidP="00000000" w:rsidRDefault="00000000" w:rsidRPr="00000000" w14:paraId="00000022">
      <w:pPr>
        <w:numPr>
          <w:ilvl w:val="0"/>
          <w:numId w:val="1"/>
        </w:numPr>
        <w:spacing w:line="360" w:lineRule="auto"/>
        <w:ind w:left="720" w:hanging="36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Determinar las ideas y conocimientos que las adolescentes asocian con el concepto de violencia simbólica.</w:t>
      </w:r>
    </w:p>
    <w:p w:rsidR="00000000" w:rsidDel="00000000" w:rsidP="00000000" w:rsidRDefault="00000000" w:rsidRPr="00000000" w14:paraId="00000023">
      <w:pPr>
        <w:numPr>
          <w:ilvl w:val="0"/>
          <w:numId w:val="1"/>
        </w:numPr>
        <w:spacing w:after="240" w:line="360" w:lineRule="auto"/>
        <w:ind w:left="720" w:hanging="36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Identificar los pensamientos, diálogos y actitudes con los que las adolescentes justifican o pasan por alto conductas de control y poder en sus relaciones afectivas.</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Justificación </w:t>
      </w:r>
    </w:p>
    <w:p w:rsidR="00000000" w:rsidDel="00000000" w:rsidP="00000000" w:rsidRDefault="00000000" w:rsidRPr="00000000" w14:paraId="00000025">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 investigación sobre la influencia de la percepción del amor romántico en la aceptación o invisibilización de la violencia simbólica en adolescentes es de gran importancia y pertinencia en el contexto actual, tanto a nivel académico como social. Lo anterior, se da en el marco de que la presente permitirá visibilizar los mecanismos mediante los cuales la concepción del amor romántico, contribuye a la normalización de dinámicas de control y dominación en las relaciones adolescentes. </w:t>
      </w:r>
    </w:p>
    <w:p w:rsidR="00000000" w:rsidDel="00000000" w:rsidP="00000000" w:rsidRDefault="00000000" w:rsidRPr="00000000" w14:paraId="00000026">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El análisis de las percepciones juveniles, permitirá a las instituciones educativas comprender mejor cómo dichas percepciones impactan la construcción de vínculos afectivos en la adolescencia, a su vez, podría funcionar como base para futuras investigaciones y para el diseño de estrategias preventivas, formativas e interventivas que promuevan relaciones afectivas más saludables, basadas en el respeto y la igualdad de género (</w:t>
      </w:r>
      <w:r w:rsidDel="00000000" w:rsidR="00000000" w:rsidRPr="00000000">
        <w:rPr>
          <w:rFonts w:ascii="Times New Roman" w:cs="Times New Roman" w:eastAsia="Times New Roman" w:hAnsi="Times New Roman"/>
          <w:color w:val="222222"/>
          <w:sz w:val="24"/>
          <w:szCs w:val="24"/>
          <w:highlight w:val="white"/>
          <w:rtl w:val="0"/>
        </w:rPr>
        <w:t xml:space="preserve">Bittar &amp; Nakano, 2018</w:t>
      </w:r>
      <w:r w:rsidDel="00000000" w:rsidR="00000000" w:rsidRPr="00000000">
        <w:rPr>
          <w:rFonts w:ascii="Times New Roman" w:cs="Times New Roman" w:eastAsia="Times New Roman" w:hAnsi="Times New Roman"/>
          <w:color w:val="1d2125"/>
          <w:sz w:val="24"/>
          <w:szCs w:val="24"/>
          <w:highlight w:val="white"/>
          <w:rtl w:val="0"/>
        </w:rPr>
        <w:t xml:space="preserve">; Flores, 2019)</w:t>
      </w:r>
    </w:p>
    <w:p w:rsidR="00000000" w:rsidDel="00000000" w:rsidP="00000000" w:rsidRDefault="00000000" w:rsidRPr="00000000" w14:paraId="00000027">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Como se mencionó anteriormente, la investigación permitirá la visibilización de una problemática social emergente, como lo es la normalización de la violencia simbólica en relaciones juveniles, bajo la influencia de los mitos sobre el amor romántico, debido a que proporcionará evidencia empírica sobre las creencias de los adolescentes, facilitando así, la creación de programas educativos y campañas de sensibilización orientadas a romper estos patrones en las relaciones afectivas (Ariza Ruiz et al., 2022).</w:t>
      </w:r>
    </w:p>
    <w:p w:rsidR="00000000" w:rsidDel="00000000" w:rsidP="00000000" w:rsidRDefault="00000000" w:rsidRPr="00000000" w14:paraId="00000028">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La presente no solo beneficiará a los adolescentes, quienes recibirán herramientas claves y prácticas para identificar comportamientos de control “disfrazados” de amor, sino que también lo hará con los padres de familia, docentes, psicólogos y orientadores educativos, quienes podrán intervenir de manera más efectiva en los procesos de acompañamiento.</w:t>
      </w:r>
    </w:p>
    <w:p w:rsidR="00000000" w:rsidDel="00000000" w:rsidP="00000000" w:rsidRDefault="00000000" w:rsidRPr="00000000" w14:paraId="00000029">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Finalmente, desde el punto de vista académico, la investigación llenará un vacío de conocimiento al explorar específicamente cómo opera la violencia simbólica en las relaciones de adolescentes desde la perspectiva de su construcción social, cultural y afectiva. Aunque existe investigación sobre violencia simbólica en parejas adultas, la falta de estudios que aborden estas experiencias desde la perspectiva de las adolescentes de la comunidad LGTBQ+ y la escasez de investigaciones en América Latina, evidencian la necesidad de profundizar en este campo.</w:t>
      </w:r>
    </w:p>
    <w:p w:rsidR="00000000" w:rsidDel="00000000" w:rsidP="00000000" w:rsidRDefault="00000000" w:rsidRPr="00000000" w14:paraId="0000002A">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2B">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Esbozo del Marco Teórico:</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Antecedentes</w:t>
      </w:r>
    </w:p>
    <w:p w:rsidR="00000000" w:rsidDel="00000000" w:rsidP="00000000" w:rsidRDefault="00000000" w:rsidRPr="00000000" w14:paraId="0000002E">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El estudio de la influencia del amor romántico en la adolescencia ha cobrado creciente importancia en las últimas décadas, debido a la identificación de sus implicaciones en la formación de relaciones afectivas marcadas por desigualdad y violencia simbólica. En el contexto colombiano, la investigación de Ariza, Viejo y Ortega (2022) presenta una revisión sistemática sobre los mitos del amor romántico en adolescentes, señalando cómo estos se mantienen a través de narrativas sociales que legitiman los estereotipos de género y dificultan el reconocimiento de la violencia simbólica.</w:t>
      </w:r>
    </w:p>
    <w:p w:rsidR="00000000" w:rsidDel="00000000" w:rsidP="00000000" w:rsidRDefault="00000000" w:rsidRPr="00000000" w14:paraId="0000002F">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Durante la adolescencia, etapa comprendida entre los 12 y los 18 años aproximadamente, ocurren transformaciones significativas a nivel biológico, psicológico y social que inciden en la construcción de la identidad y en la manera en que los adolescentes se vinculan afectivamente. Este periodo se caracteriza por una alta sensibilidad emocional, la búsqueda de pertenencia, y una fuerte influencia del entorno sociocultural, elementos que configuran las percepciones sobre el amor y las relaciones. En este contexto, las ideas preconcebidas sobre el amor romántico, frecuentemente adquiridas a través de los medios de comunicación, el grupo de pares o la familia, se interiorizan como referentes para interpretar y vivir las experiencias afectivas, muchas veces sin una reflexión crítica sobre sus implicaciones (Palacios-Verdugo &amp; Valverde, 2020).</w:t>
      </w:r>
    </w:p>
    <w:p w:rsidR="00000000" w:rsidDel="00000000" w:rsidP="00000000" w:rsidRDefault="00000000" w:rsidRPr="00000000" w14:paraId="00000030">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En esta misma línea, Caro García y Monreal Gimeno (2017) encontraron que los adolescentes que creen en mitos del amor verdadero como sufrimiento y los celos como prueba de amor, tienden a justificar actitudes de control y posesividad, esta adhesión está íntimamente relacionada con la legitimación de dinámicas de poder en las relaciones afectivas. Desde una perspectiva crítica y feminista, Flores Fonseca (2019) advierte que estas creencias se originan en estructuras patriarcales que son reforzadas por los medios de comunicación, el discurso romántico hegemónico y la educación tradicional, generando la interiorización de la desigualdad como una forma "natural" de relación.</w:t>
      </w:r>
    </w:p>
    <w:p w:rsidR="00000000" w:rsidDel="00000000" w:rsidP="00000000" w:rsidRDefault="00000000" w:rsidRPr="00000000" w14:paraId="00000031">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Otra contribución significativa es la de Benalcázar-Luna (2015), quien conceptualiza los micromachismos como expresiones sutiles de violencia simbólica, integradas en lo cotidiano. Su estudio destaca cómo estas prácticas, aunque aparentemente inofensivas, cumplen una función clave en la reproducción de relaciones desiguales desde edades muy tempranas. Asimismo, Esteban y Távora (2008) analizan cómo el amor romántico, idealizado a través de discursos de sacrificio y entrega, actúa como un dispositivo que perpetúa la subordinación de las mujeres en el ámbito afectivo.</w:t>
      </w:r>
    </w:p>
    <w:p w:rsidR="00000000" w:rsidDel="00000000" w:rsidP="00000000" w:rsidRDefault="00000000" w:rsidRPr="00000000" w14:paraId="00000032">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Complementando estos aportes, estudios recientes como el de Cadavid-Marín &amp; Marínez-Garcés, (2022) en población adolescente colombiana demuestran que la creencia en los mitos del amor romántico se relaciona con una mayor tolerancia a comportamientos abusivos, especialmente en contextos escolares. Este hallazgo pone de relieve la necesidad de intervenir desde la educación afectiva y sexual como herramienta para prevenir la violencia simbólica y emocional. Del mismo modo, Bonilla-Algovia et al. (2021) en su estudio con adolescentes españoles, reportan que la exposición constante a modelos de amor romántico idealizado en redes sociales influye en la validación de roles tradicionales de género y dificulta la construcción de vínculos basados en el respeto y la igualdad.</w:t>
      </w:r>
    </w:p>
    <w:p w:rsidR="00000000" w:rsidDel="00000000" w:rsidP="00000000" w:rsidRDefault="00000000" w:rsidRPr="00000000" w14:paraId="00000033">
      <w:pPr>
        <w:spacing w:after="240" w:before="240" w:line="360" w:lineRule="auto"/>
        <w:jc w:val="both"/>
        <w:rPr>
          <w:rFonts w:ascii="Times New Roman" w:cs="Times New Roman" w:eastAsia="Times New Roman" w:hAnsi="Times New Roman"/>
          <w:b w:val="1"/>
          <w:color w:val="1d2125"/>
          <w:sz w:val="24"/>
          <w:szCs w:val="24"/>
          <w:highlight w:val="white"/>
        </w:rPr>
      </w:pPr>
      <w:r w:rsidDel="00000000" w:rsidR="00000000" w:rsidRPr="00000000">
        <w:rPr>
          <w:rFonts w:ascii="Times New Roman" w:cs="Times New Roman" w:eastAsia="Times New Roman" w:hAnsi="Times New Roman"/>
          <w:b w:val="1"/>
          <w:color w:val="1d2125"/>
          <w:sz w:val="24"/>
          <w:szCs w:val="24"/>
          <w:highlight w:val="white"/>
          <w:rtl w:val="0"/>
        </w:rPr>
        <w:t xml:space="preserve">Referentes teóricos</w:t>
      </w:r>
    </w:p>
    <w:p w:rsidR="00000000" w:rsidDel="00000000" w:rsidP="00000000" w:rsidRDefault="00000000" w:rsidRPr="00000000" w14:paraId="00000034">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El sustento conceptual de esta investigación parte del enfoque de </w:t>
      </w:r>
      <w:r w:rsidDel="00000000" w:rsidR="00000000" w:rsidRPr="00000000">
        <w:rPr>
          <w:rFonts w:ascii="Times New Roman" w:cs="Times New Roman" w:eastAsia="Times New Roman" w:hAnsi="Times New Roman"/>
          <w:b w:val="1"/>
          <w:color w:val="1d2125"/>
          <w:sz w:val="24"/>
          <w:szCs w:val="24"/>
          <w:highlight w:val="white"/>
          <w:rtl w:val="0"/>
        </w:rPr>
        <w:t xml:space="preserve">Pierre Bourdieu</w:t>
      </w:r>
      <w:r w:rsidDel="00000000" w:rsidR="00000000" w:rsidRPr="00000000">
        <w:rPr>
          <w:rFonts w:ascii="Times New Roman" w:cs="Times New Roman" w:eastAsia="Times New Roman" w:hAnsi="Times New Roman"/>
          <w:color w:val="1d2125"/>
          <w:sz w:val="24"/>
          <w:szCs w:val="24"/>
          <w:highlight w:val="white"/>
          <w:rtl w:val="0"/>
        </w:rPr>
        <w:t xml:space="preserve"> (2012), quien acuñó el concepto de violencia simbólica para referirse a aquellas formas de dominación que se ejercen de forma sutil, no coercitiva, pero profundamente eficaces, ya que son aceptadas por quienes las sufren como parte del orden natural. En el caso de las relaciones amorosas adolescentes, esta violencia se manifiesta en conductas que, aunque normalizadas, refuerzan la subordinación y control. En consonancia con esta crítica a las estructuras invisibles de dominación,  resulta pertinente incorporar miradas que profundicen en las relaciones de poder desde una perspectiva de género, abriendo paso así al pensamiento feminista latinoamericano.</w:t>
      </w:r>
    </w:p>
    <w:p w:rsidR="00000000" w:rsidDel="00000000" w:rsidP="00000000" w:rsidRDefault="00000000" w:rsidRPr="00000000" w14:paraId="00000035">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A partir del feminismo latinoamericano, </w:t>
      </w:r>
      <w:r w:rsidDel="00000000" w:rsidR="00000000" w:rsidRPr="00000000">
        <w:rPr>
          <w:rFonts w:ascii="Times New Roman" w:cs="Times New Roman" w:eastAsia="Times New Roman" w:hAnsi="Times New Roman"/>
          <w:b w:val="1"/>
          <w:color w:val="1d2125"/>
          <w:sz w:val="24"/>
          <w:szCs w:val="24"/>
          <w:highlight w:val="white"/>
          <w:rtl w:val="0"/>
        </w:rPr>
        <w:t xml:space="preserve">Marta Lamas</w:t>
      </w:r>
      <w:r w:rsidDel="00000000" w:rsidR="00000000" w:rsidRPr="00000000">
        <w:rPr>
          <w:rFonts w:ascii="Times New Roman" w:cs="Times New Roman" w:eastAsia="Times New Roman" w:hAnsi="Times New Roman"/>
          <w:color w:val="1d2125"/>
          <w:sz w:val="24"/>
          <w:szCs w:val="24"/>
          <w:highlight w:val="white"/>
          <w:rtl w:val="0"/>
        </w:rPr>
        <w:t xml:space="preserve"> (2007) contribuye a la comprensión crítica del género como una construcción cultural que legitima las diferencias de poder entre hombres y mujeres. Lamas señala cómo la feminidad ha sido históricamente moldeada para encajar en modelos afectivos que exaltan la entrega, la sumisión y la dependencia emocional, elementos que, lejos de fomentar vínculos equitativos, perpetúan relaciones asimétricas, afectando igualmente la autonomía de las chicas adolescentes. En este sentido, resulta pertinente acudir a miradas psicológicas que abordan la experiencia amorosa desde su dimensión emocional y relacional.</w:t>
      </w:r>
    </w:p>
    <w:p w:rsidR="00000000" w:rsidDel="00000000" w:rsidP="00000000" w:rsidRDefault="00000000" w:rsidRPr="00000000" w14:paraId="00000036">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Es así como, </w:t>
      </w:r>
      <w:r w:rsidDel="00000000" w:rsidR="00000000" w:rsidRPr="00000000">
        <w:rPr>
          <w:rFonts w:ascii="Times New Roman" w:cs="Times New Roman" w:eastAsia="Times New Roman" w:hAnsi="Times New Roman"/>
          <w:b w:val="1"/>
          <w:color w:val="1d2125"/>
          <w:sz w:val="24"/>
          <w:szCs w:val="24"/>
          <w:highlight w:val="white"/>
          <w:rtl w:val="0"/>
        </w:rPr>
        <w:t xml:space="preserve">Erich Fromm</w:t>
      </w:r>
      <w:r w:rsidDel="00000000" w:rsidR="00000000" w:rsidRPr="00000000">
        <w:rPr>
          <w:rFonts w:ascii="Times New Roman" w:cs="Times New Roman" w:eastAsia="Times New Roman" w:hAnsi="Times New Roman"/>
          <w:color w:val="1d2125"/>
          <w:sz w:val="24"/>
          <w:szCs w:val="24"/>
          <w:highlight w:val="white"/>
          <w:rtl w:val="0"/>
        </w:rPr>
        <w:t xml:space="preserve"> (1956) desde una mirada más psicoanalítica y humanista, ofrece una distinción entre el amor maduro —basado en el respeto, la libertad y el compromiso recíproco— y el amor inmaduro, caracterizado por la necesidad de posesión y dependencia. Este marco resulta útil para analizar las creencias de los y las adolescentes frente a sus relaciones y cómo estas configuran vínculos afectivos saludables o dañinos. Desde esta perspectiva mucho más cualitativa sobre el amor podremos encontrar una teoría con un enfoque más estructural que permite descomponer la experiencia amorosa en sus componentes esenciales.</w:t>
      </w:r>
    </w:p>
    <w:p w:rsidR="00000000" w:rsidDel="00000000" w:rsidP="00000000" w:rsidRDefault="00000000" w:rsidRPr="00000000" w14:paraId="00000037">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 La </w:t>
      </w:r>
      <w:r w:rsidDel="00000000" w:rsidR="00000000" w:rsidRPr="00000000">
        <w:rPr>
          <w:rFonts w:ascii="Times New Roman" w:cs="Times New Roman" w:eastAsia="Times New Roman" w:hAnsi="Times New Roman"/>
          <w:b w:val="1"/>
          <w:color w:val="1d2125"/>
          <w:sz w:val="24"/>
          <w:szCs w:val="24"/>
          <w:highlight w:val="white"/>
          <w:rtl w:val="0"/>
        </w:rPr>
        <w:t xml:space="preserve">teoría triangular del amor</w:t>
      </w:r>
      <w:r w:rsidDel="00000000" w:rsidR="00000000" w:rsidRPr="00000000">
        <w:rPr>
          <w:rFonts w:ascii="Times New Roman" w:cs="Times New Roman" w:eastAsia="Times New Roman" w:hAnsi="Times New Roman"/>
          <w:color w:val="1d2125"/>
          <w:sz w:val="24"/>
          <w:szCs w:val="24"/>
          <w:highlight w:val="white"/>
          <w:rtl w:val="0"/>
        </w:rPr>
        <w:t xml:space="preserve"> de </w:t>
      </w:r>
      <w:r w:rsidDel="00000000" w:rsidR="00000000" w:rsidRPr="00000000">
        <w:rPr>
          <w:rFonts w:ascii="Times New Roman" w:cs="Times New Roman" w:eastAsia="Times New Roman" w:hAnsi="Times New Roman"/>
          <w:b w:val="1"/>
          <w:color w:val="1d2125"/>
          <w:sz w:val="24"/>
          <w:szCs w:val="24"/>
          <w:highlight w:val="white"/>
          <w:rtl w:val="0"/>
        </w:rPr>
        <w:t xml:space="preserve">Robert Sternberg</w:t>
      </w:r>
      <w:r w:rsidDel="00000000" w:rsidR="00000000" w:rsidRPr="00000000">
        <w:rPr>
          <w:rFonts w:ascii="Times New Roman" w:cs="Times New Roman" w:eastAsia="Times New Roman" w:hAnsi="Times New Roman"/>
          <w:color w:val="1d2125"/>
          <w:sz w:val="24"/>
          <w:szCs w:val="24"/>
          <w:highlight w:val="white"/>
          <w:rtl w:val="0"/>
        </w:rPr>
        <w:t xml:space="preserve"> (1986) funciona como la guía ideal al integrar tres componentes fundamentales: intimidad, pasión y compromiso, permite explorar los distintos significados que los adolescentes atribuyen a sus experiencias amorosas, y cómo la ausencia o desequilibrio entre estos componentes puede favorecer relaciones problemáticas. A partir de esta conceptualización y categorización, se puede ampliar la discusión considerando los desafíos contemporáneos que enfrentan los vínculos afectivos. </w:t>
      </w:r>
    </w:p>
    <w:p w:rsidR="00000000" w:rsidDel="00000000" w:rsidP="00000000" w:rsidRDefault="00000000" w:rsidRPr="00000000" w14:paraId="00000038">
      <w:pPr>
        <w:spacing w:after="240" w:before="240" w:line="360" w:lineRule="auto"/>
        <w:ind w:firstLine="720"/>
        <w:jc w:val="both"/>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Como lo plantea </w:t>
      </w:r>
      <w:r w:rsidDel="00000000" w:rsidR="00000000" w:rsidRPr="00000000">
        <w:rPr>
          <w:rFonts w:ascii="Times New Roman" w:cs="Times New Roman" w:eastAsia="Times New Roman" w:hAnsi="Times New Roman"/>
          <w:b w:val="1"/>
          <w:color w:val="1d2125"/>
          <w:sz w:val="24"/>
          <w:szCs w:val="24"/>
          <w:highlight w:val="white"/>
          <w:rtl w:val="0"/>
        </w:rPr>
        <w:t xml:space="preserve">Zygmunt Bauman</w:t>
      </w:r>
      <w:r w:rsidDel="00000000" w:rsidR="00000000" w:rsidRPr="00000000">
        <w:rPr>
          <w:rFonts w:ascii="Times New Roman" w:cs="Times New Roman" w:eastAsia="Times New Roman" w:hAnsi="Times New Roman"/>
          <w:color w:val="1d2125"/>
          <w:sz w:val="24"/>
          <w:szCs w:val="24"/>
          <w:highlight w:val="white"/>
          <w:rtl w:val="0"/>
        </w:rPr>
        <w:t xml:space="preserve"> (2005), el concepto de “amor líquido” proporciona un marco útil para entender la fragilidad y volatilidad de las relaciones afectivas en la era digital. En este contexto, la inmediatez, la lógica del consumo y la necesidad constante de validación en redes sociales han contribuido a desdibujar los límites del respeto y el compromiso, reforzando modelos relacionales centrados en la posesión emocional más que en la reciprocidad afectiva. Los aportes de Bauman resultan especialmente significativos para esta investigación, ya que permiten comprender cómo el miedo al compromiso, la superficialidad de los vínculos y la búsqueda de gratificación instantánea dificultan la construcción de relaciones estables y profundas entre los adolescentes. </w:t>
      </w:r>
    </w:p>
    <w:p w:rsidR="00000000" w:rsidDel="00000000" w:rsidP="00000000" w:rsidRDefault="00000000" w:rsidRPr="00000000" w14:paraId="00000039">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Enfoque:</w:t>
      </w:r>
    </w:p>
    <w:p w:rsidR="00000000" w:rsidDel="00000000" w:rsidP="00000000" w:rsidRDefault="00000000" w:rsidRPr="00000000" w14:paraId="0000003A">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enfoque de este estudio es un enfoque cualitativo, dado que su propósito no es medir ni cuantificar variables, sino comprender en profundidad los significados, percepciones y experiencias subjetivas que un grupo de chicas adolescentes construye en torno al amor romántico y su vínculo con la aceptación o invisibilización de prácticas de control y poder en sus relaciones afectivas (Flick, 2015)</w:t>
      </w:r>
    </w:p>
    <w:p w:rsidR="00000000" w:rsidDel="00000000" w:rsidP="00000000" w:rsidRDefault="00000000" w:rsidRPr="00000000" w14:paraId="0000003B">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enfoque cualitativo resulta pertinente porque la percepción del amor romántico y la violencia simbólica no son conceptos fácilmente observables o medibles desde una perspectiva externa. Además resulta adecuado puesto que, en lugar de imponer categorías teóricas previas, este enfoque permite construir el conocimiento desde la experiencia vivida por las adolescentes, dando lugar a una comprensión más auténtica, empática y contextualizada.</w:t>
      </w:r>
    </w:p>
    <w:p w:rsidR="00000000" w:rsidDel="00000000" w:rsidP="00000000" w:rsidRDefault="00000000" w:rsidRPr="00000000" w14:paraId="0000003C">
      <w:pPr>
        <w:spacing w:after="240" w:before="240" w:line="360" w:lineRule="auto"/>
        <w:ind w:firstLine="720"/>
        <w:rPr>
          <w:rFonts w:ascii="Times New Roman" w:cs="Times New Roman" w:eastAsia="Times New Roman" w:hAnsi="Times New Roman"/>
          <w:b w:val="1"/>
          <w:sz w:val="24"/>
          <w:szCs w:val="24"/>
        </w:rPr>
      </w:pPr>
      <w:r w:rsidDel="00000000" w:rsidR="00000000" w:rsidRPr="00000000">
        <w:rPr>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Método:</w:t>
      </w:r>
    </w:p>
    <w:p w:rsidR="00000000" w:rsidDel="00000000" w:rsidP="00000000" w:rsidRDefault="00000000" w:rsidRPr="00000000" w14:paraId="0000003D">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también se apoya en los principios de la Etnometodología, una perspectiva propuesta por Harold Garfinkel (1991) que se centra en el estudio de los métodos cotidianos que las personas utilizan para dar sentido al mundo social. A diferencia de otros enfoques que buscan describir estructuras sociales externas, la etnometodología indaga en cómo los actores construyen y reproducen activamente el orden social a través del lenguaje, las acciones y las interacciones cotidianas.</w:t>
      </w:r>
    </w:p>
    <w:p w:rsidR="00000000" w:rsidDel="00000000" w:rsidP="00000000" w:rsidRDefault="00000000" w:rsidRPr="00000000" w14:paraId="0000003E">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uso de entrevistas abiertas, grupos de discusión y análisis del lenguaje cotidiano permitirá captar esos modos en que las adolescentes, sin darse cuenta, </w:t>
      </w:r>
      <w:r w:rsidDel="00000000" w:rsidR="00000000" w:rsidRPr="00000000">
        <w:rPr>
          <w:rFonts w:ascii="Times New Roman" w:cs="Times New Roman" w:eastAsia="Times New Roman" w:hAnsi="Times New Roman"/>
          <w:sz w:val="24"/>
          <w:szCs w:val="24"/>
          <w:rtl w:val="0"/>
        </w:rPr>
        <w:t xml:space="preserve">construyen</w:t>
      </w:r>
      <w:r w:rsidDel="00000000" w:rsidR="00000000" w:rsidRPr="00000000">
        <w:rPr>
          <w:rFonts w:ascii="Times New Roman" w:cs="Times New Roman" w:eastAsia="Times New Roman" w:hAnsi="Times New Roman"/>
          <w:sz w:val="24"/>
          <w:szCs w:val="24"/>
          <w:rtl w:val="0"/>
        </w:rPr>
        <w:t xml:space="preserve"> y aceptan ciertas ideas sobre el amor y las relaciones. La etnometodología, al enfocarse no solo en lo que las personas dicen, sino en cómo lo dicen, ayuda a descubrir expresiones y formas de hablar que, aunque parecen normales, pueden esconder prácticas de control o desigualdad en las relaciones afectivas.</w:t>
      </w:r>
    </w:p>
    <w:p w:rsidR="00000000" w:rsidDel="00000000" w:rsidP="00000000" w:rsidRDefault="00000000" w:rsidRPr="00000000" w14:paraId="0000003F">
      <w:pPr>
        <w:spacing w:after="240" w:before="240" w:line="360" w:lineRule="auto"/>
        <w:ind w:firstLine="720"/>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rtl w:val="0"/>
        </w:rPr>
        <w:t xml:space="preserve">Así, este enfoque hace posible identificar formas sutiles de violencia que se manifiestan en las palabras, gestos o frases que circulan en los entornos escolares, familiares o incluso en redes sociales, y que las jóvenes podrían interpretar como muestras de cariño, cuando en realidad son señales de relaciones desequilibradas.</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Técnicas e instrumentos de recolección de información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abordar la pregunta de investigación, se seleccionaron técnicas cualitativas que permiten una comprensión profunda de las experiencias, creencias, significados y discursos de las adolescentes:</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Entrevistas semiestructuradas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Las entrevistas permiten la exploración de las experiencias subjetivas de las adolescentes, favoreciendo </w:t>
      </w:r>
      <w:r w:rsidDel="00000000" w:rsidR="00000000" w:rsidRPr="00000000">
        <w:rPr>
          <w:rFonts w:ascii="Times New Roman" w:cs="Times New Roman" w:eastAsia="Times New Roman" w:hAnsi="Times New Roman"/>
          <w:sz w:val="24"/>
          <w:szCs w:val="24"/>
          <w:rtl w:val="0"/>
        </w:rPr>
        <w:t xml:space="preserve">así</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un diálogo flexible pero guiado por temas clave o categorías previas, tales como; el amor romántico, los mitos entorno a este, la violencia simbólica, desglosada en aceptación e invisibilización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de prácticas de control y poder en sus relaciones afectivas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Según autores como Taylor y Bogdan (1984), la entrevista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está dirigida hacia la comprensión de las perspectivas que tienen los informantes respecto de sus vidas, experiencias o situaciones, tal como las expresan con sus propias palabras, facilitando así, la obtención de narrativas personales con significados para cada uno de ellos.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este modo, la entrevista semiestructurada sería una técnica bastante útil, sobre todo para conocer la forma en que las adolescentes entienden y conciben el amor romántico, las creencias sobre el amor verdadero, la justificación de comportamientos como los celos o el control excesivo como sinónimos de “cuidado” y su conocimiento sobre la violencia simbólica.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36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Grupos Focales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Los grupos focales con su objetivo genérico y transversal, permiten conocer las actitudes, sentimientos, creencias y percepciones dominantes o compartidas en un determinado colectivo. Por lo cual, por medio de un guión de discusión más cerrado, una conducción y moderación del grupo más directiva y con un análisis de contenido profundo, se explorarán; las reacciones grupales frente a afirmaciones sobre celos, posesividad y sacrificio en el amor, la influencia de redes sociales y medios en la idealización amorosa y la perpetuación de mitos sobre el amor romántico y las expresiones normalizadas de control. Además, dado que la violencia simbólica suele estar naturalizada y es difícil de reconocer, esta técnica permite indagar más allá de lo evidente, explorando narrativas, contradicciones y similitudes presentes dentro del grupo.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Al trabajar con adolescentes, esta técnica favorece la participación y el diálogo de manera transversal, además, permite observar la forma en que socialmente y como grupo se validan o cuestionan narrativas sobre el amor y el control, dicha participación activa, ayuda a generar un ambiente de confianza, en el cual las adolescentes pueden hablar desde sus experiencias sin sentirse juzgadas.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Encuestas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Las encuestas abiertas permiten recoger datos de una muestra más amplia y detectar patrones generales de pensamiento, percepción o experiencia, sin perder profundidad interpretativa. Aunque este estudio es predominantemente cualitativo, las encuestas abiertas complementan los datos narrativos y ofrecen un panorama más amplio del fenómeno.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 combinación de preguntas abiertas con ítems tipo Likert permite capturar tanto las creencias explícitas como las asociaciones más implícitas relacionadas con el amor romántico y la violencia simbólica. Hernández, Fernández y Baptista (2014) destacan la utilidad del cuestionario como técnica mixta, especialmente cuando se busca comprender fenómenos sociales complejos con componentes tanto subjetivos como colectivos. Estas encuestas permitirán abordar; el nivel de acuerdo con creencias comunes sobre el amor romántico, las concepciones individuales sobre el control, los celos y la posesión, la posible normalización y justificación de prácticas simbólicas de poder y finalmente, la influencia de medios y redes sociales en la percepción amorosa.</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Cartografía Social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heading=h.2z9wtd1xnjhp" w:id="0"/>
      <w:bookmarkEnd w:id="0"/>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 el fin de generar motivación en el grupo, se inicia resaltando la necesidad de reconocer los significados individuales y colectivos sobre los espacios físicos y digitales que conforman su entorno en general (casa, colegio, parques, redes sociales etc.) y las relaciones que en ellas generan sentidos de seguridad e inseguridad, de este modo, se invita a las participantes a registrarse con otros ojos ante su propia vida cotidiana. Seguido a esto, se dará inicio a la elaboración de los mapas de conflicto o mapas de redes, en ellos deberán indicar y reconocer las zonas o momentos de malestar (experiencias relacionadas a la violencia simbólica), guiados por preguntas e intereses de acuerdo a </w:t>
      </w:r>
      <w:r w:rsidDel="00000000" w:rsidR="00000000" w:rsidRPr="00000000">
        <w:rPr>
          <w:rFonts w:ascii="Times New Roman" w:cs="Times New Roman" w:eastAsia="Times New Roman" w:hAnsi="Times New Roman"/>
          <w:sz w:val="24"/>
          <w:szCs w:val="24"/>
          <w:rtl w:val="0"/>
        </w:rPr>
        <w:t xml:space="preserve">cómo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 sienten en esos lugares, </w:t>
      </w:r>
      <w:r w:rsidDel="00000000" w:rsidR="00000000" w:rsidRPr="00000000">
        <w:rPr>
          <w:rFonts w:ascii="Times New Roman" w:cs="Times New Roman" w:eastAsia="Times New Roman" w:hAnsi="Times New Roman"/>
          <w:sz w:val="24"/>
          <w:szCs w:val="24"/>
          <w:rtl w:val="0"/>
        </w:rPr>
        <w:t xml:space="preserve">cómo</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son los vínculos que allí se dan, de qué modo se dan, si en estos lugares se perpetúan estos mitos de amor romántico o si se normalizan el control y los celos.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 igual modo, se obtendrá una aproximación a la idea de futuro que sobre el territorio y las condiciones de seguridad y convivencia, los participantes visualizan frente a su propia idea interiorizada de cambio y participación en el presente para la construcción del territorio futuro deseado. Esta metodología participativa promueve una reflexión crítica desde lo emocional y vivencial, adecuada para adolescentes. Además, como se mencionó anteriormente, la cartografía permite visualizar zonas simbólicas de afecto y conflicto, de seguridad e inseguridad respecto al amor romántico y la violencia simbólica.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La iconografía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Esta técnica de investigación se basa en el análisis de representaciones gráficas producidas por los participantes y va muy ligada a la cartografía social. En contextos educativos, donde el lenguaje verbal puede ser limitado por la edad, cultura o el miedo a ser juzgados, el dibujo y la creación visual se convierten en un medio eficaz para expresar conceptos complejos como el amor, la violencia simbólica, la dependencia o las dinámicas de poder.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Las imágenes permiten comunicar dimensiones simbólicas de la experiencia humana que a menudo no pueden ser captadas por métodos verbales tradicionales. De este modo, se pedirá a las adolescentes que realicen dibujos respecto a; “¿De qué manera imaginan una relación amorosa ideal? Y ¿De qué manera ven e imaginan una relación dañina? Lo anterior permitirá identificar los elementos simbólicos que representan el “amor ideal” para las adolescentes, los estereotipos de género visibles en las representaciones o mitos representados en los mismos, la identificación de señales visuales de control o desigualdad y, sobre todo, la diferencia entre la imagen idealizada y las experiencias reales.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Cada una de estas técnicas son óptimas para la investigación porque permiten abordar el fenómeno desde diversas dimensiones: lo individual, lo colectivo, lo simbólico y lo emocional. El complemento que se brindan unos con otros, facilita una comprensión más profunda de cómo las adolescentes perciben el amor romántico y la forma en que naturalizan la violencia simbólica, al capturar tanto discursos explícitos como representaciones visuales y experiencias afectivas internalizadas.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Caracterización de la población objeto de estudio</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 población objeto de estudio estará compuesta por adolescentes de la Escuela Normal Superior Santiago de Tunja, ubicadas en la ciudad de Tunja, Boyacá. El rango de edad se </w:t>
      </w:r>
      <w:r w:rsidDel="00000000" w:rsidR="00000000" w:rsidRPr="00000000">
        <w:rPr>
          <w:rFonts w:ascii="Times New Roman" w:cs="Times New Roman" w:eastAsia="Times New Roman" w:hAnsi="Times New Roman"/>
          <w:sz w:val="24"/>
          <w:szCs w:val="24"/>
          <w:rtl w:val="0"/>
        </w:rPr>
        <w:t xml:space="preserve">encuentra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entre los 13 y los 17 años, etapa crítica del desarrollo identitario y emocional, donde se consolidan muchas creencias sobre el amor. En cuanto al número estimado de participantes, se propone trabajar con una muestra de entre 20 y 30 adolescentes, seleccionadas por su disposición a participar y por estar involucradas o tener experiencia en relaciones afectivas. El género será predominantemente femenino, ya que el enfoque del estudio se centra en cómo las adolescentes viven el amor y experimentan la violencia simbólica. No se tendrán excepciones de orientación sexual, raza, religión, cultura, país de origen, etc.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Las estudiantes serán de bachillerato (básica media y básica superior) de la institución pública y los únicos criterios de inclusión serán: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Edad dentro del rango mencionado.</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Disposición voluntaria para participar.</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Experiencia directa o indirecta con relaciones afectivas.</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Pertenencia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 la comunidad educativa de la Escuela Normal Superior Santiago de Tunja.</w:t>
      </w:r>
    </w:p>
    <w:p w:rsidR="00000000" w:rsidDel="00000000" w:rsidP="00000000" w:rsidRDefault="00000000" w:rsidRPr="00000000" w14:paraId="00000059">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A">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B">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C">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D">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E">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5F">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0">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1">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2">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4">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5">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6">
      <w:pPr>
        <w:spacing w:after="240" w:before="240" w:line="360" w:lineRule="auto"/>
        <w:jc w:val="both"/>
        <w:rPr>
          <w:rFonts w:ascii="Times New Roman" w:cs="Times New Roman" w:eastAsia="Times New Roman" w:hAnsi="Times New Roman"/>
          <w:color w:val="1d2125"/>
          <w:sz w:val="24"/>
          <w:szCs w:val="24"/>
          <w:highlight w:val="white"/>
        </w:rPr>
      </w:pPr>
      <w:r w:rsidDel="00000000" w:rsidR="00000000" w:rsidRPr="00000000">
        <w:rPr>
          <w:rtl w:val="0"/>
        </w:rPr>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b w:val="1"/>
          <w:sz w:val="27"/>
          <w:szCs w:val="27"/>
          <w:highlight w:val="white"/>
        </w:rPr>
      </w:pPr>
      <w:r w:rsidDel="00000000" w:rsidR="00000000" w:rsidRPr="00000000">
        <w:rPr>
          <w:rFonts w:ascii="Times New Roman" w:cs="Times New Roman" w:eastAsia="Times New Roman" w:hAnsi="Times New Roman"/>
          <w:b w:val="1"/>
          <w:sz w:val="27"/>
          <w:szCs w:val="27"/>
          <w:highlight w:val="white"/>
          <w:rtl w:val="0"/>
        </w:rPr>
        <w:t xml:space="preserve">Referencias:</w:t>
      </w:r>
    </w:p>
    <w:p w:rsidR="00000000" w:rsidDel="00000000" w:rsidP="00000000" w:rsidRDefault="00000000" w:rsidRPr="00000000" w14:paraId="00000068">
      <w:pPr>
        <w:spacing w:before="240" w:line="48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Ariza Ruiz, A., Viejo Almanzor, C. &amp; Ortega Ruiz, R. (2022). </w:t>
      </w:r>
      <w:r w:rsidDel="00000000" w:rsidR="00000000" w:rsidRPr="00000000">
        <w:rPr>
          <w:rFonts w:ascii="Times New Roman" w:cs="Times New Roman" w:eastAsia="Times New Roman" w:hAnsi="Times New Roman"/>
          <w:i w:val="1"/>
          <w:sz w:val="24"/>
          <w:szCs w:val="24"/>
          <w:highlight w:val="white"/>
          <w:rtl w:val="0"/>
        </w:rPr>
        <w:t xml:space="preserve">El Amor romántico y sus mitos en Colombia: una revisión sistemática</w:t>
      </w:r>
      <w:r w:rsidDel="00000000" w:rsidR="00000000" w:rsidRPr="00000000">
        <w:rPr>
          <w:rFonts w:ascii="Times New Roman" w:cs="Times New Roman" w:eastAsia="Times New Roman" w:hAnsi="Times New Roman"/>
          <w:sz w:val="24"/>
          <w:szCs w:val="24"/>
          <w:highlight w:val="white"/>
          <w:rtl w:val="0"/>
        </w:rPr>
        <w:t xml:space="preserve">. Suma Psicológica.</w:t>
      </w:r>
    </w:p>
    <w:p w:rsidR="00000000" w:rsidDel="00000000" w:rsidP="00000000" w:rsidRDefault="00000000" w:rsidRPr="00000000" w14:paraId="00000069">
      <w:pPr>
        <w:spacing w:before="240" w:line="48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Bauman, Z. (2005). </w:t>
      </w:r>
      <w:r w:rsidDel="00000000" w:rsidR="00000000" w:rsidRPr="00000000">
        <w:rPr>
          <w:rFonts w:ascii="Times New Roman" w:cs="Times New Roman" w:eastAsia="Times New Roman" w:hAnsi="Times New Roman"/>
          <w:i w:val="1"/>
          <w:sz w:val="24"/>
          <w:szCs w:val="24"/>
          <w:highlight w:val="white"/>
          <w:rtl w:val="0"/>
        </w:rPr>
        <w:t xml:space="preserve">Amor líquido: Acerca de la fragilidad de los vínculos humanos</w:t>
      </w:r>
      <w:r w:rsidDel="00000000" w:rsidR="00000000" w:rsidRPr="00000000">
        <w:rPr>
          <w:rFonts w:ascii="Times New Roman" w:cs="Times New Roman" w:eastAsia="Times New Roman" w:hAnsi="Times New Roman"/>
          <w:sz w:val="24"/>
          <w:szCs w:val="24"/>
          <w:highlight w:val="white"/>
          <w:rtl w:val="0"/>
        </w:rPr>
        <w:t xml:space="preserve">. Fondo de Cultura Económica.</w:t>
      </w:r>
    </w:p>
    <w:p w:rsidR="00000000" w:rsidDel="00000000" w:rsidP="00000000" w:rsidRDefault="00000000" w:rsidRPr="00000000" w14:paraId="0000006A">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Benalcázar-Luna, M. (2015). </w:t>
      </w:r>
      <w:r w:rsidDel="00000000" w:rsidR="00000000" w:rsidRPr="00000000">
        <w:rPr>
          <w:rFonts w:ascii="Times New Roman" w:cs="Times New Roman" w:eastAsia="Times New Roman" w:hAnsi="Times New Roman"/>
          <w:i w:val="1"/>
          <w:sz w:val="24"/>
          <w:szCs w:val="24"/>
          <w:highlight w:val="white"/>
          <w:rtl w:val="0"/>
        </w:rPr>
        <w:t xml:space="preserve">Micromachismo: manifestación de violencia simbólica</w:t>
      </w:r>
      <w:r w:rsidDel="00000000" w:rsidR="00000000" w:rsidRPr="00000000">
        <w:rPr>
          <w:rFonts w:ascii="Times New Roman" w:cs="Times New Roman" w:eastAsia="Times New Roman" w:hAnsi="Times New Roman"/>
          <w:sz w:val="24"/>
          <w:szCs w:val="24"/>
          <w:highlight w:val="white"/>
          <w:rtl w:val="0"/>
        </w:rPr>
        <w:t xml:space="preserve">. Universidad Técnica de Cotopaxi.</w:t>
      </w:r>
    </w:p>
    <w:p w:rsidR="00000000" w:rsidDel="00000000" w:rsidP="00000000" w:rsidRDefault="00000000" w:rsidRPr="00000000" w14:paraId="0000006B">
      <w:pPr>
        <w:spacing w:after="240" w:before="240" w:line="360" w:lineRule="auto"/>
        <w:ind w:left="720.0000000000001" w:hanging="720.0000000000001"/>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Bittar, D. B., &amp; Nakano, A. M. S. (2018). Violencia simbólica entre adolescentes en las relaciones afectivas entre novios. </w:t>
      </w:r>
      <w:r w:rsidDel="00000000" w:rsidR="00000000" w:rsidRPr="00000000">
        <w:rPr>
          <w:rFonts w:ascii="Times New Roman" w:cs="Times New Roman" w:eastAsia="Times New Roman" w:hAnsi="Times New Roman"/>
          <w:i w:val="1"/>
          <w:sz w:val="24"/>
          <w:szCs w:val="24"/>
          <w:highlight w:val="white"/>
          <w:rtl w:val="0"/>
        </w:rPr>
        <w:t xml:space="preserve">Revista da Escola de Enfermagem da USP</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51</w:t>
      </w:r>
    </w:p>
    <w:p w:rsidR="00000000" w:rsidDel="00000000" w:rsidP="00000000" w:rsidRDefault="00000000" w:rsidRPr="00000000" w14:paraId="0000006C">
      <w:pPr>
        <w:spacing w:after="240" w:before="240" w:line="360" w:lineRule="auto"/>
        <w:ind w:left="720.0000000000001" w:hanging="720.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Bonilla-Algovia, E., Rivas-Rivero, E., &amp; Gómez, I. P. (2021). Mitos del amor romántico en adolescentes: relación con el sexismo y variables procedentes de la socialización. </w:t>
      </w:r>
      <w:r w:rsidDel="00000000" w:rsidR="00000000" w:rsidRPr="00000000">
        <w:rPr>
          <w:rFonts w:ascii="Times New Roman" w:cs="Times New Roman" w:eastAsia="Times New Roman" w:hAnsi="Times New Roman"/>
          <w:i w:val="1"/>
          <w:sz w:val="24"/>
          <w:szCs w:val="24"/>
          <w:highlight w:val="white"/>
          <w:rtl w:val="0"/>
        </w:rPr>
        <w:t xml:space="preserve">Educación XX1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24</w:t>
      </w:r>
      <w:r w:rsidDel="00000000" w:rsidR="00000000" w:rsidRPr="00000000">
        <w:rPr>
          <w:rFonts w:ascii="Times New Roman" w:cs="Times New Roman" w:eastAsia="Times New Roman" w:hAnsi="Times New Roman"/>
          <w:sz w:val="24"/>
          <w:szCs w:val="24"/>
          <w:highlight w:val="white"/>
          <w:rtl w:val="0"/>
        </w:rPr>
        <w:t xml:space="preserve">(2).</w:t>
      </w:r>
      <w:hyperlink r:id="rId7">
        <w:r w:rsidDel="00000000" w:rsidR="00000000" w:rsidRPr="00000000">
          <w:rPr>
            <w:rFonts w:ascii="Times New Roman" w:cs="Times New Roman" w:eastAsia="Times New Roman" w:hAnsi="Times New Roman"/>
            <w:color w:val="1d2125"/>
            <w:sz w:val="24"/>
            <w:szCs w:val="24"/>
            <w:highlight w:val="white"/>
            <w:rtl w:val="0"/>
          </w:rPr>
          <w:t xml:space="preserve"> </w:t>
        </w:r>
      </w:hyperlink>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https://doi.org/10.5944/educxx1.28514</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6D">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Bourdieu, P. (2012). </w:t>
      </w:r>
      <w:r w:rsidDel="00000000" w:rsidR="00000000" w:rsidRPr="00000000">
        <w:rPr>
          <w:rFonts w:ascii="Times New Roman" w:cs="Times New Roman" w:eastAsia="Times New Roman" w:hAnsi="Times New Roman"/>
          <w:i w:val="1"/>
          <w:sz w:val="24"/>
          <w:szCs w:val="24"/>
          <w:highlight w:val="white"/>
          <w:rtl w:val="0"/>
        </w:rPr>
        <w:t xml:space="preserve">Symbolic violence</w:t>
      </w:r>
      <w:r w:rsidDel="00000000" w:rsidR="00000000" w:rsidRPr="00000000">
        <w:rPr>
          <w:rFonts w:ascii="Times New Roman" w:cs="Times New Roman" w:eastAsia="Times New Roman" w:hAnsi="Times New Roman"/>
          <w:sz w:val="24"/>
          <w:szCs w:val="24"/>
          <w:highlight w:val="white"/>
          <w:rtl w:val="0"/>
        </w:rPr>
        <w:t xml:space="preserve">. Revista Latina de Sociología.</w:t>
      </w:r>
    </w:p>
    <w:p w:rsidR="00000000" w:rsidDel="00000000" w:rsidP="00000000" w:rsidRDefault="00000000" w:rsidRPr="00000000" w14:paraId="0000006E">
      <w:pPr>
        <w:spacing w:after="240" w:before="240" w:line="360" w:lineRule="auto"/>
        <w:ind w:left="720.0000000000001" w:hanging="720.0000000000001"/>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Cadavid-Marín, A. M., &amp; Marínez-Garcés, J. D. (2022). Violencia simbólica en relaciones de pareja desde la marginalidad en mujeres jóvenes. </w:t>
      </w:r>
      <w:r w:rsidDel="00000000" w:rsidR="00000000" w:rsidRPr="00000000">
        <w:rPr>
          <w:rFonts w:ascii="Times New Roman" w:cs="Times New Roman" w:eastAsia="Times New Roman" w:hAnsi="Times New Roman"/>
          <w:i w:val="1"/>
          <w:sz w:val="24"/>
          <w:szCs w:val="24"/>
          <w:highlight w:val="white"/>
          <w:rtl w:val="0"/>
        </w:rPr>
        <w:t xml:space="preserve">Revista Latinoamericana de Ciencias Sociales Niñez y Juventud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(3), 1-25.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https://doi.org/10.11600/rlcsnj.20.3.4742</w:t>
        </w:r>
      </w:hyperlink>
      <w:r w:rsidDel="00000000" w:rsidR="00000000" w:rsidRPr="00000000">
        <w:rPr>
          <w:rtl w:val="0"/>
        </w:rPr>
      </w:r>
    </w:p>
    <w:p w:rsidR="00000000" w:rsidDel="00000000" w:rsidP="00000000" w:rsidRDefault="00000000" w:rsidRPr="00000000" w14:paraId="0000006F">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Caro García, C. &amp; Monreal Gimeno, M. C. (2017). </w:t>
      </w:r>
      <w:r w:rsidDel="00000000" w:rsidR="00000000" w:rsidRPr="00000000">
        <w:rPr>
          <w:rFonts w:ascii="Times New Roman" w:cs="Times New Roman" w:eastAsia="Times New Roman" w:hAnsi="Times New Roman"/>
          <w:i w:val="1"/>
          <w:sz w:val="24"/>
          <w:szCs w:val="24"/>
          <w:highlight w:val="white"/>
          <w:rtl w:val="0"/>
        </w:rPr>
        <w:t xml:space="preserve">Creencias del amor romántico y violencia de género</w:t>
      </w:r>
      <w:r w:rsidDel="00000000" w:rsidR="00000000" w:rsidRPr="00000000">
        <w:rPr>
          <w:rFonts w:ascii="Times New Roman" w:cs="Times New Roman" w:eastAsia="Times New Roman" w:hAnsi="Times New Roman"/>
          <w:sz w:val="24"/>
          <w:szCs w:val="24"/>
          <w:highlight w:val="white"/>
          <w:rtl w:val="0"/>
        </w:rPr>
        <w:t xml:space="preserve">. International Journal of Developmental and Educational Psychology.</w:t>
      </w:r>
    </w:p>
    <w:p w:rsidR="00000000" w:rsidDel="00000000" w:rsidP="00000000" w:rsidRDefault="00000000" w:rsidRPr="00000000" w14:paraId="00000070">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Esteban, M. L. &amp; Távora, A. (2008). </w:t>
      </w:r>
      <w:r w:rsidDel="00000000" w:rsidR="00000000" w:rsidRPr="00000000">
        <w:rPr>
          <w:rFonts w:ascii="Times New Roman" w:cs="Times New Roman" w:eastAsia="Times New Roman" w:hAnsi="Times New Roman"/>
          <w:i w:val="1"/>
          <w:sz w:val="24"/>
          <w:szCs w:val="24"/>
          <w:highlight w:val="white"/>
          <w:rtl w:val="0"/>
        </w:rPr>
        <w:t xml:space="preserve">El amor romántico y la subordinación social de las mujeres: revisiones y propuestas</w:t>
      </w:r>
      <w:r w:rsidDel="00000000" w:rsidR="00000000" w:rsidRPr="00000000">
        <w:rPr>
          <w:rFonts w:ascii="Times New Roman" w:cs="Times New Roman" w:eastAsia="Times New Roman" w:hAnsi="Times New Roman"/>
          <w:sz w:val="24"/>
          <w:szCs w:val="24"/>
          <w:highlight w:val="white"/>
          <w:rtl w:val="0"/>
        </w:rPr>
        <w:t xml:space="preserve">. Anuario de Psicología.</w:t>
      </w:r>
    </w:p>
    <w:p w:rsidR="00000000" w:rsidDel="00000000" w:rsidP="00000000" w:rsidRDefault="00000000" w:rsidRPr="00000000" w14:paraId="00000071">
      <w:pPr>
        <w:spacing w:line="48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Flick, U. (2015). </w:t>
      </w:r>
      <w:r w:rsidDel="00000000" w:rsidR="00000000" w:rsidRPr="00000000">
        <w:rPr>
          <w:rFonts w:ascii="Times New Roman" w:cs="Times New Roman" w:eastAsia="Times New Roman" w:hAnsi="Times New Roman"/>
          <w:i w:val="1"/>
          <w:sz w:val="24"/>
          <w:szCs w:val="24"/>
          <w:rtl w:val="0"/>
        </w:rPr>
        <w:t xml:space="preserve">El diseño de la Investigación Cualitativa</w:t>
      </w:r>
      <w:r w:rsidDel="00000000" w:rsidR="00000000" w:rsidRPr="00000000">
        <w:rPr>
          <w:rFonts w:ascii="Times New Roman" w:cs="Times New Roman" w:eastAsia="Times New Roman" w:hAnsi="Times New Roman"/>
          <w:sz w:val="24"/>
          <w:szCs w:val="24"/>
          <w:rtl w:val="0"/>
        </w:rPr>
        <w:t xml:space="preserve">. Ediciones Morata.</w:t>
      </w:r>
      <w:r w:rsidDel="00000000" w:rsidR="00000000" w:rsidRPr="00000000">
        <w:rPr>
          <w:rtl w:val="0"/>
        </w:rPr>
      </w:r>
    </w:p>
    <w:p w:rsidR="00000000" w:rsidDel="00000000" w:rsidP="00000000" w:rsidRDefault="00000000" w:rsidRPr="00000000" w14:paraId="00000072">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Flores Fonseca, V. M. (2019). </w:t>
      </w:r>
      <w:r w:rsidDel="00000000" w:rsidR="00000000" w:rsidRPr="00000000">
        <w:rPr>
          <w:rFonts w:ascii="Times New Roman" w:cs="Times New Roman" w:eastAsia="Times New Roman" w:hAnsi="Times New Roman"/>
          <w:i w:val="1"/>
          <w:sz w:val="24"/>
          <w:szCs w:val="24"/>
          <w:highlight w:val="white"/>
          <w:rtl w:val="0"/>
        </w:rPr>
        <w:t xml:space="preserve">Mecanismos en la construcción del amor Romántico</w:t>
      </w:r>
      <w:r w:rsidDel="00000000" w:rsidR="00000000" w:rsidRPr="00000000">
        <w:rPr>
          <w:rFonts w:ascii="Times New Roman" w:cs="Times New Roman" w:eastAsia="Times New Roman" w:hAnsi="Times New Roman"/>
          <w:sz w:val="24"/>
          <w:szCs w:val="24"/>
          <w:highlight w:val="white"/>
          <w:rtl w:val="0"/>
        </w:rPr>
        <w:t xml:space="preserve">. La Ventana.</w:t>
      </w:r>
    </w:p>
    <w:p w:rsidR="00000000" w:rsidDel="00000000" w:rsidP="00000000" w:rsidRDefault="00000000" w:rsidRPr="00000000" w14:paraId="00000073">
      <w:pPr>
        <w:spacing w:after="240" w:before="240" w:line="36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Fromm, E. (1956). </w:t>
      </w:r>
      <w:r w:rsidDel="00000000" w:rsidR="00000000" w:rsidRPr="00000000">
        <w:rPr>
          <w:rFonts w:ascii="Times New Roman" w:cs="Times New Roman" w:eastAsia="Times New Roman" w:hAnsi="Times New Roman"/>
          <w:i w:val="1"/>
          <w:sz w:val="24"/>
          <w:szCs w:val="24"/>
          <w:highlight w:val="white"/>
          <w:rtl w:val="0"/>
        </w:rPr>
        <w:t xml:space="preserve">The Art of Loving</w:t>
      </w:r>
      <w:r w:rsidDel="00000000" w:rsidR="00000000" w:rsidRPr="00000000">
        <w:rPr>
          <w:rFonts w:ascii="Times New Roman" w:cs="Times New Roman" w:eastAsia="Times New Roman" w:hAnsi="Times New Roman"/>
          <w:sz w:val="24"/>
          <w:szCs w:val="24"/>
          <w:highlight w:val="white"/>
          <w:rtl w:val="0"/>
        </w:rPr>
        <w:t xml:space="preserve">. Harper &amp; Row.</w:t>
      </w:r>
    </w:p>
    <w:p w:rsidR="00000000" w:rsidDel="00000000" w:rsidP="00000000" w:rsidRDefault="00000000" w:rsidRPr="00000000" w14:paraId="00000074">
      <w:pPr>
        <w:spacing w:line="480" w:lineRule="auto"/>
        <w:ind w:left="720.0000000000001" w:hanging="720.0000000000001"/>
        <w:rPr>
          <w:sz w:val="24"/>
          <w:szCs w:val="24"/>
        </w:rPr>
      </w:pPr>
      <w:r w:rsidDel="00000000" w:rsidR="00000000" w:rsidRPr="00000000">
        <w:rPr>
          <w:rFonts w:ascii="Times New Roman" w:cs="Times New Roman" w:eastAsia="Times New Roman" w:hAnsi="Times New Roman"/>
          <w:sz w:val="24"/>
          <w:szCs w:val="24"/>
          <w:rtl w:val="0"/>
        </w:rPr>
        <w:t xml:space="preserve">Garfinkel, H. (1991). </w:t>
      </w:r>
      <w:r w:rsidDel="00000000" w:rsidR="00000000" w:rsidRPr="00000000">
        <w:rPr>
          <w:rFonts w:ascii="Times New Roman" w:cs="Times New Roman" w:eastAsia="Times New Roman" w:hAnsi="Times New Roman"/>
          <w:i w:val="1"/>
          <w:sz w:val="24"/>
          <w:szCs w:val="24"/>
          <w:rtl w:val="0"/>
        </w:rPr>
        <w:t xml:space="preserve">Studies in Ethnomethodology</w:t>
      </w:r>
      <w:r w:rsidDel="00000000" w:rsidR="00000000" w:rsidRPr="00000000">
        <w:rPr>
          <w:rFonts w:ascii="Times New Roman" w:cs="Times New Roman" w:eastAsia="Times New Roman" w:hAnsi="Times New Roman"/>
          <w:sz w:val="24"/>
          <w:szCs w:val="24"/>
          <w:rtl w:val="0"/>
        </w:rPr>
        <w:t xml:space="preserve">. Polity</w:t>
      </w:r>
      <w:r w:rsidDel="00000000" w:rsidR="00000000" w:rsidRPr="00000000">
        <w:rPr>
          <w:sz w:val="24"/>
          <w:szCs w:val="24"/>
          <w:rtl w:val="0"/>
        </w:rPr>
        <w:t xml:space="preserve">.</w:t>
      </w:r>
    </w:p>
    <w:p w:rsidR="00000000" w:rsidDel="00000000" w:rsidP="00000000" w:rsidRDefault="00000000" w:rsidRPr="00000000" w14:paraId="00000075">
      <w:pPr>
        <w:spacing w:line="24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Hernández, R., Fernández, C., &amp; Baptista, P. (2014). </w:t>
      </w:r>
      <w:r w:rsidDel="00000000" w:rsidR="00000000" w:rsidRPr="00000000">
        <w:rPr>
          <w:rFonts w:ascii="Times New Roman" w:cs="Times New Roman" w:eastAsia="Times New Roman" w:hAnsi="Times New Roman"/>
          <w:i w:val="1"/>
          <w:sz w:val="24"/>
          <w:szCs w:val="24"/>
          <w:rtl w:val="0"/>
        </w:rPr>
        <w:t xml:space="preserve">Metodología de la investigación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6">
      <w:pPr>
        <w:spacing w:before="240" w:line="480" w:lineRule="auto"/>
        <w:ind w:left="720.0000000000001" w:hanging="720.000000000000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Lamas, M. (2007). </w:t>
      </w:r>
      <w:r w:rsidDel="00000000" w:rsidR="00000000" w:rsidRPr="00000000">
        <w:rPr>
          <w:rFonts w:ascii="Times New Roman" w:cs="Times New Roman" w:eastAsia="Times New Roman" w:hAnsi="Times New Roman"/>
          <w:i w:val="1"/>
          <w:sz w:val="24"/>
          <w:szCs w:val="24"/>
          <w:highlight w:val="white"/>
          <w:rtl w:val="0"/>
        </w:rPr>
        <w:t xml:space="preserve">La construcción sociocultural de los géneros</w:t>
      </w:r>
      <w:r w:rsidDel="00000000" w:rsidR="00000000" w:rsidRPr="00000000">
        <w:rPr>
          <w:rFonts w:ascii="Times New Roman" w:cs="Times New Roman" w:eastAsia="Times New Roman" w:hAnsi="Times New Roman"/>
          <w:sz w:val="24"/>
          <w:szCs w:val="24"/>
          <w:highlight w:val="white"/>
          <w:rtl w:val="0"/>
        </w:rPr>
        <w:t xml:space="preserve">. En M. Lamas (Ed.), </w:t>
      </w:r>
      <w:r w:rsidDel="00000000" w:rsidR="00000000" w:rsidRPr="00000000">
        <w:rPr>
          <w:rFonts w:ascii="Times New Roman" w:cs="Times New Roman" w:eastAsia="Times New Roman" w:hAnsi="Times New Roman"/>
          <w:i w:val="1"/>
          <w:sz w:val="24"/>
          <w:szCs w:val="24"/>
          <w:highlight w:val="white"/>
          <w:rtl w:val="0"/>
        </w:rPr>
        <w:t xml:space="preserve">El género: La construcción cultural de la diferencia sexual</w:t>
      </w:r>
      <w:r w:rsidDel="00000000" w:rsidR="00000000" w:rsidRPr="00000000">
        <w:rPr>
          <w:rFonts w:ascii="Times New Roman" w:cs="Times New Roman" w:eastAsia="Times New Roman" w:hAnsi="Times New Roman"/>
          <w:sz w:val="24"/>
          <w:szCs w:val="24"/>
          <w:highlight w:val="white"/>
          <w:rtl w:val="0"/>
        </w:rPr>
        <w:t xml:space="preserve"> (pp. 13–35). PUEG/UNAM.</w:t>
      </w:r>
    </w:p>
    <w:p w:rsidR="00000000" w:rsidDel="00000000" w:rsidP="00000000" w:rsidRDefault="00000000" w:rsidRPr="00000000" w14:paraId="00000077">
      <w:pPr>
        <w:spacing w:before="240" w:line="480" w:lineRule="auto"/>
        <w:ind w:left="720.0000000000001" w:hanging="720.0000000000001"/>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Liu, N., Lu, Z., &amp; Xie, Y. (2021). Factors Affecting the Public Acceptance of Extramarital Sex in China. </w:t>
      </w:r>
      <w:r w:rsidDel="00000000" w:rsidR="00000000" w:rsidRPr="00000000">
        <w:rPr>
          <w:rFonts w:ascii="Times New Roman" w:cs="Times New Roman" w:eastAsia="Times New Roman" w:hAnsi="Times New Roman"/>
          <w:i w:val="1"/>
          <w:sz w:val="24"/>
          <w:szCs w:val="24"/>
          <w:highlight w:val="white"/>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18</w:t>
      </w:r>
      <w:r w:rsidDel="00000000" w:rsidR="00000000" w:rsidRPr="00000000">
        <w:rPr>
          <w:rFonts w:ascii="Times New Roman" w:cs="Times New Roman" w:eastAsia="Times New Roman" w:hAnsi="Times New Roman"/>
          <w:sz w:val="24"/>
          <w:szCs w:val="24"/>
          <w:highlight w:val="white"/>
          <w:rtl w:val="0"/>
        </w:rPr>
        <w:t xml:space="preserve">(11), 5767.</w:t>
      </w:r>
      <w:r w:rsidDel="00000000" w:rsidR="00000000" w:rsidRPr="00000000">
        <w:rPr>
          <w:rFonts w:ascii="Times New Roman" w:cs="Times New Roman" w:eastAsia="Times New Roman" w:hAnsi="Times New Roman"/>
          <w:color w:val="1d2125"/>
          <w:sz w:val="24"/>
          <w:szCs w:val="24"/>
          <w:highlight w:val="white"/>
          <w:rtl w:val="0"/>
        </w:rPr>
        <w:t xml:space="preserve">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https://doi.org/10.3390/ijerph18115767</w:t>
        </w:r>
      </w:hyperlink>
      <w:r w:rsidDel="00000000" w:rsidR="00000000" w:rsidRPr="00000000">
        <w:rPr>
          <w:rFonts w:ascii="Times New Roman" w:cs="Times New Roman" w:eastAsia="Times New Roman" w:hAnsi="Times New Roman"/>
          <w:color w:val="1d2125"/>
          <w:sz w:val="24"/>
          <w:szCs w:val="24"/>
          <w:highlight w:val="white"/>
          <w:rtl w:val="0"/>
        </w:rPr>
        <w:t xml:space="preserve"> </w:t>
      </w:r>
    </w:p>
    <w:p w:rsidR="00000000" w:rsidDel="00000000" w:rsidP="00000000" w:rsidRDefault="00000000" w:rsidRPr="00000000" w14:paraId="00000078">
      <w:pPr>
        <w:spacing w:before="240" w:line="480" w:lineRule="auto"/>
        <w:ind w:left="720.0000000000001" w:hanging="720.0000000000001"/>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Muñoz-Rivas, M. J., Graña, J. L., O’Leary, K. D., &amp; González, M. P. (2009). Prevalence and predictors of sexual aggression in dating relationships of adolescents and young adults. </w:t>
      </w:r>
      <w:r w:rsidDel="00000000" w:rsidR="00000000" w:rsidRPr="00000000">
        <w:rPr>
          <w:rFonts w:ascii="Times New Roman" w:cs="Times New Roman" w:eastAsia="Times New Roman" w:hAnsi="Times New Roman"/>
          <w:i w:val="1"/>
          <w:sz w:val="24"/>
          <w:szCs w:val="24"/>
          <w:highlight w:val="white"/>
          <w:rtl w:val="0"/>
        </w:rPr>
        <w:t xml:space="preserve">PubMed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21</w:t>
      </w:r>
      <w:r w:rsidDel="00000000" w:rsidR="00000000" w:rsidRPr="00000000">
        <w:rPr>
          <w:rFonts w:ascii="Times New Roman" w:cs="Times New Roman" w:eastAsia="Times New Roman" w:hAnsi="Times New Roman"/>
          <w:sz w:val="24"/>
          <w:szCs w:val="24"/>
          <w:highlight w:val="white"/>
          <w:rtl w:val="0"/>
        </w:rPr>
        <w:t xml:space="preserve">(2), 234-240.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https://pubmed.ncbi.nlm.nih.gov/19403076</w:t>
        </w:r>
      </w:hyperlink>
      <w:r w:rsidDel="00000000" w:rsidR="00000000" w:rsidRPr="00000000">
        <w:rPr>
          <w:rtl w:val="0"/>
        </w:rPr>
      </w:r>
    </w:p>
    <w:p w:rsidR="00000000" w:rsidDel="00000000" w:rsidP="00000000" w:rsidRDefault="00000000" w:rsidRPr="00000000" w14:paraId="00000079">
      <w:pPr>
        <w:spacing w:line="480" w:lineRule="auto"/>
        <w:ind w:left="720"/>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color w:val="1d2125"/>
          <w:sz w:val="24"/>
          <w:szCs w:val="24"/>
          <w:highlight w:val="white"/>
          <w:rtl w:val="0"/>
        </w:rPr>
        <w:t xml:space="preserve">Palacios-Verdugo, M. M., &amp; Valverde, P. (2020). Mitos del amor romántico y violencia de género en jóvenes estudiantes de la Universidad del Azuay. </w:t>
      </w:r>
      <w:r w:rsidDel="00000000" w:rsidR="00000000" w:rsidRPr="00000000">
        <w:rPr>
          <w:rFonts w:ascii="Times New Roman" w:cs="Times New Roman" w:eastAsia="Times New Roman" w:hAnsi="Times New Roman"/>
          <w:i w:val="1"/>
          <w:color w:val="1d2125"/>
          <w:sz w:val="24"/>
          <w:szCs w:val="24"/>
          <w:highlight w:val="white"/>
          <w:rtl w:val="0"/>
        </w:rPr>
        <w:t xml:space="preserve">Killkana Social</w:t>
      </w:r>
      <w:r w:rsidDel="00000000" w:rsidR="00000000" w:rsidRPr="00000000">
        <w:rPr>
          <w:rFonts w:ascii="Times New Roman" w:cs="Times New Roman" w:eastAsia="Times New Roman" w:hAnsi="Times New Roman"/>
          <w:color w:val="1d2125"/>
          <w:sz w:val="24"/>
          <w:szCs w:val="24"/>
          <w:highlight w:val="white"/>
          <w:rtl w:val="0"/>
        </w:rPr>
        <w:t xml:space="preserve">, </w:t>
      </w:r>
      <w:r w:rsidDel="00000000" w:rsidR="00000000" w:rsidRPr="00000000">
        <w:rPr>
          <w:rFonts w:ascii="Times New Roman" w:cs="Times New Roman" w:eastAsia="Times New Roman" w:hAnsi="Times New Roman"/>
          <w:i w:val="1"/>
          <w:color w:val="1d2125"/>
          <w:sz w:val="24"/>
          <w:szCs w:val="24"/>
          <w:highlight w:val="white"/>
          <w:rtl w:val="0"/>
        </w:rPr>
        <w:t xml:space="preserve">4</w:t>
      </w:r>
      <w:r w:rsidDel="00000000" w:rsidR="00000000" w:rsidRPr="00000000">
        <w:rPr>
          <w:rFonts w:ascii="Times New Roman" w:cs="Times New Roman" w:eastAsia="Times New Roman" w:hAnsi="Times New Roman"/>
          <w:color w:val="1d2125"/>
          <w:sz w:val="24"/>
          <w:szCs w:val="24"/>
          <w:highlight w:val="white"/>
          <w:rtl w:val="0"/>
        </w:rPr>
        <w:t xml:space="preserve">(3), 27-34.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https://doi.org/10.26871/killkanasocial.v4i3.665</w:t>
        </w:r>
      </w:hyperlink>
      <w:r w:rsidDel="00000000" w:rsidR="00000000" w:rsidRPr="00000000">
        <w:rPr>
          <w:rFonts w:ascii="Times New Roman" w:cs="Times New Roman" w:eastAsia="Times New Roman" w:hAnsi="Times New Roman"/>
          <w:color w:val="1d2125"/>
          <w:sz w:val="24"/>
          <w:szCs w:val="24"/>
          <w:highlight w:val="white"/>
          <w:rtl w:val="0"/>
        </w:rPr>
        <w:t xml:space="preserve"> </w:t>
      </w:r>
    </w:p>
    <w:p w:rsidR="00000000" w:rsidDel="00000000" w:rsidP="00000000" w:rsidRDefault="00000000" w:rsidRPr="00000000" w14:paraId="0000007A">
      <w:pPr>
        <w:spacing w:line="480" w:lineRule="auto"/>
        <w:ind w:left="720.0000000000001" w:hanging="720.0000000000001"/>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rtl w:val="0"/>
        </w:rPr>
        <w:t xml:space="preserve">S.J. Taylor; R. Bodgan (1984). “La entrevista en profundidad”. Introducción a los métodos cualitativos de investigación. La búsqueda de significados. Barcelona: Paidós Ibérica.</w:t>
      </w:r>
      <w:r w:rsidDel="00000000" w:rsidR="00000000" w:rsidRPr="00000000">
        <w:rPr>
          <w:rtl w:val="0"/>
        </w:rPr>
      </w:r>
    </w:p>
    <w:p w:rsidR="00000000" w:rsidDel="00000000" w:rsidP="00000000" w:rsidRDefault="00000000" w:rsidRPr="00000000" w14:paraId="0000007B">
      <w:pPr>
        <w:spacing w:before="240" w:line="480" w:lineRule="auto"/>
        <w:ind w:left="720.0000000000001" w:hanging="720.0000000000001"/>
        <w:rPr>
          <w:rFonts w:ascii="Times New Roman" w:cs="Times New Roman" w:eastAsia="Times New Roman" w:hAnsi="Times New Roman"/>
          <w:color w:val="1d2125"/>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Sternberg, R. J. (1986). A triangular theory of love. </w:t>
      </w:r>
      <w:r w:rsidDel="00000000" w:rsidR="00000000" w:rsidRPr="00000000">
        <w:rPr>
          <w:rFonts w:ascii="Times New Roman" w:cs="Times New Roman" w:eastAsia="Times New Roman" w:hAnsi="Times New Roman"/>
          <w:i w:val="1"/>
          <w:sz w:val="24"/>
          <w:szCs w:val="24"/>
          <w:highlight w:val="white"/>
          <w:rtl w:val="0"/>
        </w:rPr>
        <w:t xml:space="preserve">Psychological Review</w:t>
      </w:r>
      <w:r w:rsidDel="00000000" w:rsidR="00000000" w:rsidRPr="00000000">
        <w:rPr>
          <w:rFonts w:ascii="Times New Roman" w:cs="Times New Roman" w:eastAsia="Times New Roman" w:hAnsi="Times New Roman"/>
          <w:sz w:val="24"/>
          <w:szCs w:val="24"/>
          <w:highlight w:val="white"/>
          <w:rtl w:val="0"/>
        </w:rPr>
        <w:t xml:space="preserve">, 93(2), 119–135.</w:t>
      </w:r>
      <w:hyperlink r:id="rId13">
        <w:r w:rsidDel="00000000" w:rsidR="00000000" w:rsidRPr="00000000">
          <w:rPr>
            <w:rFonts w:ascii="Times New Roman" w:cs="Times New Roman" w:eastAsia="Times New Roman" w:hAnsi="Times New Roman"/>
            <w:sz w:val="24"/>
            <w:szCs w:val="24"/>
            <w:highlight w:val="white"/>
            <w:rtl w:val="0"/>
          </w:rPr>
          <w:t xml:space="preserve"> </w:t>
        </w:r>
      </w:hyperlink>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https://doi.org/10.1037/0033-295X.93.2.119</w:t>
        </w:r>
      </w:hyperlink>
      <w:r w:rsidDel="00000000" w:rsidR="00000000" w:rsidRPr="00000000">
        <w:rPr>
          <w:rtl w:val="0"/>
        </w:rPr>
      </w:r>
    </w:p>
    <w:sectPr>
      <w:headerReference r:id="rId15" w:type="default"/>
      <w:headerReference r:id="rId16" w:type="first"/>
      <w:footerReference r:id="rId17" w:type="default"/>
      <w:footerReference r:id="rId1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NormalWeb">
    <w:name w:val="Normal (Web)"/>
    <w:basedOn w:val="Normal"/>
    <w:uiPriority w:val="99"/>
    <w:unhideWhenUsed w:val="1"/>
    <w:rsid w:val="00E87BC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Textoennegrita">
    <w:name w:val="Strong"/>
    <w:basedOn w:val="Fuentedeprrafopredeter"/>
    <w:uiPriority w:val="22"/>
    <w:qFormat w:val="1"/>
    <w:rsid w:val="00E87BC7"/>
    <w:rPr>
      <w:b w:val="1"/>
      <w:bCs w:val="1"/>
    </w:rPr>
  </w:style>
  <w:style w:type="character" w:styleId="nfasis">
    <w:name w:val="Emphasis"/>
    <w:basedOn w:val="Fuentedeprrafopredeter"/>
    <w:uiPriority w:val="20"/>
    <w:qFormat w:val="1"/>
    <w:rsid w:val="00E87BC7"/>
    <w:rPr>
      <w:i w:val="1"/>
      <w:i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19403076" TargetMode="External"/><Relationship Id="rId10" Type="http://schemas.openxmlformats.org/officeDocument/2006/relationships/hyperlink" Target="https://doi.org/10.3390/ijerph18115767" TargetMode="External"/><Relationship Id="rId13" Type="http://schemas.openxmlformats.org/officeDocument/2006/relationships/hyperlink" Target="https://doi.org/10.1037/0033-295X.93.2.119" TargetMode="External"/><Relationship Id="rId12" Type="http://schemas.openxmlformats.org/officeDocument/2006/relationships/hyperlink" Target="https://doi.org/10.26871/killkanasocial.v4i3.6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600/rlcsnj.20.3.4742" TargetMode="External"/><Relationship Id="rId15" Type="http://schemas.openxmlformats.org/officeDocument/2006/relationships/header" Target="header1.xml"/><Relationship Id="rId14" Type="http://schemas.openxmlformats.org/officeDocument/2006/relationships/hyperlink" Target="https://doi.org/10.1037/0033-295X.93.2.119"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doi.org/10.5944/educxx1.28514" TargetMode="External"/><Relationship Id="rId8" Type="http://schemas.openxmlformats.org/officeDocument/2006/relationships/hyperlink" Target="https://doi.org/10.5944/educxx1.285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jb0oEnOOvWfvMWaDkjnd4jyA==">CgMxLjAyDmguMno5d3RkMXhuamhwOAByITFsLXE5RlVSbkNIQ2NiMXlGZnhiUmFKOExaNGhVUTlkMw==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2025-05-24T14:02:00Z</dcterms:created>
</cp:coreProperties>
</file>